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sz w:val="56"/>
          <w:szCs w:val="56"/>
        </w:rPr>
      </w:pPr>
      <w:r>
        <w:rPr>
          <w:sz w:val="56"/>
          <w:szCs w:val="56"/>
        </w:rPr>
      </w:r>
    </w:p>
    <w:p>
      <w:pPr>
        <w:pStyle w:val="Normal"/>
        <w:jc w:val="center"/>
        <w:rPr>
          <w:sz w:val="72"/>
          <w:szCs w:val="72"/>
        </w:rPr>
      </w:pPr>
      <w:r>
        <w:rPr>
          <w:sz w:val="72"/>
          <w:szCs w:val="72"/>
        </w:rPr>
        <w:t>Външна политика на Русия в Близкия изток</w:t>
      </w:r>
    </w:p>
    <w:p>
      <w:pPr>
        <w:pStyle w:val="Normal"/>
        <w:jc w:val="center"/>
        <w:rPr>
          <w:sz w:val="72"/>
          <w:szCs w:val="72"/>
        </w:rPr>
      </w:pPr>
      <w:r>
        <w:rPr>
          <w:sz w:val="72"/>
          <w:szCs w:val="72"/>
        </w:rPr>
      </w:r>
    </w:p>
    <w:p>
      <w:pPr>
        <w:pStyle w:val="Normal"/>
        <w:jc w:val="center"/>
        <w:rPr>
          <w:sz w:val="48"/>
          <w:szCs w:val="48"/>
        </w:rPr>
      </w:pPr>
      <w:r>
        <w:rPr>
          <w:sz w:val="48"/>
          <w:szCs w:val="48"/>
        </w:rPr>
        <w:t>Курсова работа по регион Русия и Евразия</w:t>
      </w:r>
    </w:p>
    <w:p>
      <w:pPr>
        <w:pStyle w:val="Normal"/>
        <w:jc w:val="center"/>
        <w:rPr>
          <w:sz w:val="48"/>
          <w:szCs w:val="48"/>
        </w:rPr>
      </w:pPr>
      <w:r>
        <w:rPr>
          <w:sz w:val="48"/>
          <w:szCs w:val="48"/>
        </w:rPr>
      </w:r>
    </w:p>
    <w:p>
      <w:pPr>
        <w:pStyle w:val="Normal"/>
        <w:jc w:val="center"/>
        <w:rPr>
          <w:sz w:val="48"/>
          <w:szCs w:val="48"/>
        </w:rPr>
      </w:pPr>
      <w:r>
        <w:rPr>
          <w:sz w:val="48"/>
          <w:szCs w:val="48"/>
        </w:rPr>
      </w:r>
    </w:p>
    <w:p>
      <w:pPr>
        <w:pStyle w:val="Normal"/>
        <w:rPr>
          <w:sz w:val="48"/>
          <w:szCs w:val="48"/>
        </w:rPr>
      </w:pPr>
      <w:r>
        <w:rPr>
          <w:sz w:val="48"/>
          <w:szCs w:val="48"/>
        </w:rPr>
      </w:r>
    </w:p>
    <w:p>
      <w:pPr>
        <w:pStyle w:val="Normal"/>
        <w:jc w:val="center"/>
        <w:rPr>
          <w:sz w:val="24"/>
          <w:szCs w:val="24"/>
        </w:rPr>
      </w:pPr>
      <w:r>
        <w:rPr>
          <w:sz w:val="24"/>
          <w:szCs w:val="24"/>
        </w:rPr>
      </w:r>
    </w:p>
    <w:p>
      <w:pPr>
        <w:pStyle w:val="Normal"/>
        <w:jc w:val="center"/>
        <w:rPr>
          <w:sz w:val="24"/>
          <w:szCs w:val="24"/>
        </w:rPr>
      </w:pPr>
      <w:r>
        <w:rPr>
          <w:sz w:val="24"/>
          <w:szCs w:val="24"/>
        </w:rPr>
      </w:r>
    </w:p>
    <w:p>
      <w:pPr>
        <w:pStyle w:val="Normal"/>
        <w:jc w:val="center"/>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40"/>
          <w:szCs w:val="40"/>
        </w:rPr>
      </w:pPr>
      <w:r>
        <w:rPr>
          <w:sz w:val="24"/>
          <w:szCs w:val="24"/>
        </w:rPr>
        <w:t xml:space="preserve">   </w:t>
      </w:r>
      <w:r>
        <w:rPr>
          <w:sz w:val="40"/>
          <w:szCs w:val="40"/>
        </w:rPr>
        <w:t>1.Увод</w:t>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t>Интересите на външната политика на Русия, в регионът на Близкия изток, са въпрос с вековна история и устойчиво бъдеще. Нещо повече, това е въпрос, който има тенденцията да става все по-актуален, с оглед нарасналата активност на Руската федерация в тази част на света през последното десетилетие и реалните изгледи тя да се установи като една от водещите сили, които играят роля в политиките на близкоизточните държави.</w:t>
      </w:r>
    </w:p>
    <w:p>
      <w:pPr>
        <w:pStyle w:val="Normal"/>
        <w:rPr>
          <w:sz w:val="24"/>
          <w:szCs w:val="24"/>
        </w:rPr>
      </w:pPr>
      <w:r>
        <w:rPr>
          <w:sz w:val="24"/>
          <w:szCs w:val="24"/>
        </w:rPr>
        <w:t xml:space="preserve">За да се направи цялостен анализ на тази тема, то трябва да я проследим исторически, връщайки се назад във времената на Руската империя, още от периода Петър </w:t>
      </w:r>
      <w:r>
        <w:rPr>
          <w:sz w:val="24"/>
          <w:szCs w:val="24"/>
          <w:lang w:val="en-US"/>
        </w:rPr>
        <w:t>I</w:t>
      </w:r>
      <w:r>
        <w:rPr>
          <w:sz w:val="24"/>
          <w:szCs w:val="24"/>
        </w:rPr>
        <w:t>, при когото руските интереси се пресичат с тези на Османската империя, по въпросът за контрола над северното черноморие, а след това и за надмощие на една от двете империи в съревнованието им по море. Оттам с течение на десетилетията и тенденциозното заслабване на османците като европейска сила, руските интереси в района започват да нарастват и ако ги изобразим географски, ще кажем, че те се изместват все по на юг. Освен по линия на Османската империя, руските интереси в Близкия изток се изразяват най-ярко и по линия на Персия, където съперник за влияние е Британската империя, целяща да обезпечи контрола над колониите си в Индия от евентуалното навлизане на Русия в тази част от света. На практика Персия бива разделена на две зони на влияние- руска и британска. В периода на съветският съюз активното политическо участие в района на Близкия изток се възобновява през 50те години и бързо прераства в съперничество със Съединените щати, така както в останалите части на света, където интересите на двете суперсили се сблъскват. През годините на студената война, много държави поддържат близки отношения и са фактически съюзници със СССР през различни периоди от време. В това число спадат страни като Ирак, Египет, Либия, Южен Йемен и Сирия. Съветският съюз е и един от основните застъпници и поддръжници на създаването на държавата Израел, подкрепата за която впоследствие бива оттеглена след няколко разочарования по нейна линия. След това съветската политика се измества противоположно в поддръжка на Палестина и организациите за нейното освобождаване като Хизбула и ливанската военизирана политическа партия Хамаз. Друга интересна и противоположна на предходната е съветската политика по посока на Турската република, тъй като основните точки на противопоставяне в миналото или изчезват или биват изоставени, както имперската идея за контрол над черноморските проливи. Тенденциозно отношенията между двете страни се подобряват за един сравнително дълъг период, в който и за двете е видима изгодата от доброто партньорство между тях. По другата традиционна линия на руската политика, а именно Иран, съветският съюз често променя позицията си вследствие на иранските опити за лавиране във времето на студената война. Основният съюзник през съветската епоха до 70те години обаче е Египет, чрез който най-вече се осъществява натиск в посока на удовлетворяването на съветските интереси и планове в района. До разпадането си, СССР като цяло има добри позиции сред държавите от Близкия изток, като единствена изцяло противоруски настроена остава Саудитска Арабия, която е традиционен съюзник на Съединените американски щати. Интересите на съюза преди всичко са очертани от огромният пазар за износ на оръжие, стоки и влияние в световния пазар на нефт. Достиженията, които изгражда съветската външна политика в региона обаче, се разпадат заедно със самия Съветски съюз и след укрепването и утвърждаването на новата Руска федерация, се възобновява и интересът и към тази динамична част от света, която обаче претърпява различни метаморфози, които ще открият нови възможности и ще предизвикат нови сблъсъци между интересите както на регионални, така и на глобални сили. Всред бурната и постоянно променяща се обстановка в Близкия изток, руската външна политика формулира своите нови интереси и започва да търси способите и възможностите за осъществяването им и след няколко ключови събития, Русия отново успява да стъпи на регионалната сцена като един пълноправен участник.</w:t>
      </w:r>
    </w:p>
    <w:p>
      <w:pPr>
        <w:pStyle w:val="Normal"/>
        <w:rPr>
          <w:sz w:val="24"/>
          <w:szCs w:val="24"/>
        </w:rPr>
      </w:pPr>
      <w:r>
        <w:rPr>
          <w:sz w:val="24"/>
          <w:szCs w:val="24"/>
        </w:rPr>
      </w:r>
    </w:p>
    <w:p>
      <w:pPr>
        <w:pStyle w:val="Normal"/>
        <w:rPr>
          <w:sz w:val="24"/>
          <w:szCs w:val="24"/>
        </w:rPr>
      </w:pPr>
      <w:r>
        <w:rPr>
          <w:sz w:val="24"/>
          <w:szCs w:val="24"/>
        </w:rPr>
      </w:r>
    </w:p>
    <w:p>
      <w:pPr>
        <w:pStyle w:val="Normal"/>
        <w:rPr>
          <w:sz w:val="40"/>
          <w:szCs w:val="40"/>
        </w:rPr>
      </w:pPr>
      <w:r>
        <w:rPr>
          <w:sz w:val="40"/>
          <w:szCs w:val="40"/>
        </w:rPr>
        <w:t>2. Отношенията между Русия и Турция</w:t>
      </w:r>
    </w:p>
    <w:p>
      <w:pPr>
        <w:pStyle w:val="Normal"/>
        <w:rPr>
          <w:sz w:val="40"/>
          <w:szCs w:val="40"/>
        </w:rPr>
      </w:pPr>
      <w:r>
        <w:rPr>
          <w:sz w:val="40"/>
          <w:szCs w:val="40"/>
        </w:rPr>
      </w:r>
    </w:p>
    <w:p>
      <w:pPr>
        <w:pStyle w:val="Normal"/>
        <w:rPr>
          <w:sz w:val="24"/>
          <w:szCs w:val="24"/>
        </w:rPr>
      </w:pPr>
      <w:r>
        <w:rPr>
          <w:sz w:val="24"/>
          <w:szCs w:val="24"/>
        </w:rPr>
        <w:t xml:space="preserve">Ще започнем този анализ като се спрем първоначално на отношенията между Русия и Турската република. Турция представлява своеобразен географски портал към Близкия изток и е един от ключовите играчи в района, особено що се отнася до Сирия и нестихващият вече години наред конфликт, протичащ в страната, в който са замесени интересите на много страни както от региона, така и от световната карта, сред които е и Руската федерация. </w:t>
      </w:r>
    </w:p>
    <w:p>
      <w:pPr>
        <w:pStyle w:val="Normal"/>
        <w:rPr>
          <w:sz w:val="24"/>
          <w:szCs w:val="24"/>
        </w:rPr>
      </w:pPr>
      <w:r>
        <w:rPr>
          <w:sz w:val="24"/>
          <w:szCs w:val="24"/>
        </w:rPr>
        <w:t xml:space="preserve">  </w:t>
      </w:r>
      <w:r>
        <w:rPr>
          <w:sz w:val="24"/>
          <w:szCs w:val="24"/>
        </w:rPr>
        <w:t>Като цяло руско-турските отношения от началото на новото хилядолетие се развиват доста плавно и решително, към все по-солидно подобряване на настроенията и откриване на допирни точки, както в икономически така и в политически аспект, като през 2014-а година сумарната стойност на търговският обмен между двете възлиза на над 44 милиарда долара. 2015-а година обаче е година на криза между Анкара и Москва. През март същата година се случва инцидент, в който турски изтребител сваля руски бомбардировач, изпратен да осъществи бомбардировка над обект на ИДИЛ, намиращ се в близост до турско-сирийската граница. Доводите на турската страна са, че руският самолет неоторизирано е навлязъл в турското небе. Следват широки ответни санкции от руска страна най-вече в икономически план. Президентът Путин подписва указ за безопасността на руските граждани и националната безопасност и за специални икономически мерки спрямо Турция. Прекратено е и споразумението за безвизов режим между двете страни. Истинската причина зад инцидента обаче се крие в различните позиции които имат двете страни спрямо разрешаването на проблема в Сирия. Свалянето на руският бомбардировач беше дързък символичен ход от страна на Анкара, против подкрепата, която осигурява Русия, за силите на Башар Асад, претендент за властта в раздираната от войната страна, срещу когото Турция открито се противопоставя. През 2016-а година обаче турскят премиер Ердоган с писмо изразява желание за изглаждане на отношенията и урегулиране на ситуацията. Двете страни успяват да намерят общ интерес в това. Сломяването на Ислямска държава е важно за Турция, поради огромната бежанска криза от която тя е пряко засегната, като от края на 2016-а започват да си взаимодействат относно различни военни операции, като е назначена комисия за мониторинг, с цел прекратяването на военните действия в Сирия и е подписан меморандум за безопасността на полетите на военната авиация на двете страни. На 18-и януари за пръв път е проведена и съвместна операция срещу терористически групировки, с участието и на турските военно-въздушни сили. Подобряват се и икономическите отношения и сътрудничеството в сферата на енергетиката. Още повече резултатите от възникналата криза в отношенията между двете страни, далеч не бяха такива, каквито Анкара предвиждаше и се оказаха повече в неин ущърб, отколкото полза. Към днешна дата може да се каже, че интересите на Москва и Анкара в Сирия до голяма степен обуславят настроенията между тях, които не могат да се определят като стабилни в позитивно или негативно отношение, а варират спрямо конкретни външнополитически ходове от двете страни. От една страна сравнителното отдалечаване на Турция при Ердоган от запада и Съединените щати, предполага засилване на връзките с Русия, но същевременно се наблюдава, по-скоро стремеж за лавиране и защитаване на собствените интереси които има Анкара в Близкия изток. Измежду тях най-главен е един. От началото на конфликта в Сирия, преди всичко обект на турското внимание са засилващите се кюрдски позиции в Сирия, представляващи според Ердоган , директна опасност за суверинитета и сигурността на Турция. Това се дължи на наличието на голямо кюрдско малцинство на нейна територия и на опасенията от засилването и укрепването на кюрдският народ до състояние, в което въпросът за независим Кюрдистан да бъде изложен на сцената на международната политика, в ущърб на териториалната цялост на Турция, както и възможността за усилването на натиска вътре в Турция, включително и чрез терористични методи. Кюрдските военизирани части са основният и най-активен опонент на силите на ИДИЛ в Сирия, и се ползват с подкрепата на Съединените щати, тъй като именно тези войски предотвратяват широкото навлизане на бойци на ислямска държава на територията на Ирак, намиращ се в сферата на американското влияние, в който се намират основните американски части в Близкия изток, разположени в множество бази в страната. Доскоро политика на Турция по въпроса, се изразяваше в подкрепа на окончателното ликвидиране на възможността на Башар Асад да си възвърне контролът над Сирия, включително и чрез подпомагането на военизирани части воюващи срещу Асад , което се разглеждаше, като най-сигурното противодействие на консолидирането на сирийските кюрди. Тази позиция беше в унисон с американските планове за бъдещето на Сирия, които също бяха и все още са против възобновяването на режима Башар Асад в страната. За разлика от Съединените щати, Русия от друга страна подкрепя бившия сирийски президент и залага именно на него, що се отнася до реализирането на интересите си в Сирия. Обстановката обаче коренно се измени след постепенното свиване на териториите контролирани от Ислямска държава и като цяло успешните действия срещу нея, които до голяма степен я обезсилиха, до състояние в което вече далеч не представлява опасност, каквато беше през изминалите няколко години. Огледално на все по-смаляващите се сили на ИДИЛ, нарастват тези на Башар Асад, който успя да си върне големи територии от страната и да стане съвсем реален и дори най-вероятен, претендент за властта в Сирия. С оглед на тези събития Турция, реши да действа по друг начин и да предприеме активни действия в защита на своите интереси. Това доведе до скорошната и дълго планувана военна операция на турската армия срещу кюрдските позиции в пограничните райони в северна Сирия. Официалната позиция на Анкара е, че операцията представлява акт на самоотбрана насочен против кюрдски терористични групировки. Това предизвика широка негативна международна реакция, най-вече от страна на Западният свят. Страните от Европейският съюз настояха операцията да се прекрати, в отговор на което, Ердоган изтъкна възможността турските граници да бъдат отворени, което ще предизвика нова бежанска криза в Европа. Страни като Германия, Франция, Великобритания и други, прекъснаха търговските доставки на оръжия в Турция. Същите поставиха и въпроса пред НАТО, като инициираха извънредно събрания на съвета по безопасност. Съединените щати също реагираха негативно, бидейки пряко засегнати от операцията, проведена срещу кюрдските им съюзници. В писмо на президентът Тръмп, бе отправено предупреждение за икономически санкции, които ще предприеме САЩ. Съвсем реални са опасенията от засилване на позициите на ИДИЛ в Сирия, след провеждането на тази операция. Негативни бяха и реакциите на страни от Арабският свят като Саудитска Арабия и Египет. Бяха отправени множество призиви за мирно урегулиране на въпроса и установяването на диалог между Анкара и кюрдите. Руската реакция от друга страна бе сдържана и призоваваше към сдържаност между страните в конфликта. Прессекретарят на президента, Дмитрий Песков заяви: „ Ще се отнесем с уважение към правото на Турция да предприема мерки за обезпечаването на своята безопасност, но разчитаме, че операцията ще бъде пропорционална единствено на тези цели-обезпечаването на безопасността и задачите по обезпечаването на безопасността“</w:t>
      </w:r>
      <w:r>
        <w:rPr>
          <w:rStyle w:val="FootnoteAnchor"/>
          <w:sz w:val="24"/>
          <w:szCs w:val="24"/>
        </w:rPr>
        <w:footnoteReference w:id="2"/>
      </w:r>
      <w:r>
        <w:rPr>
          <w:sz w:val="24"/>
          <w:szCs w:val="24"/>
        </w:rPr>
        <w:t>. Политиката на Москва по въпроса се състои в спомагане за урегулиране на напрежението, чрез подпомагането на считания, от руска гледна точка, за законен президент Башар Асад, в целта му да установи траен контрол над Сирия. Руският център за примирение между враждуващите страни в Сирия, успешно подпомогна за договарянето между кюрдската автономна администрация и сирийското правителство под ръководството на Асад, за влизане на правителствени войски на териториите намираюи се под кюрдски контрол. Руската позиция е ясно синтезирана в изявлението, по време на срещата между Владимир Путин и Реджеб Ердоган в Сочи на 22 октомври, на министъра на външните работи, Сергей Лавров, който казва, че чрез включването на кюрдските териториални и политически структури в правовото поле на Сирийската Арабска Република, за да може на нейна територия да няма незаконни въоражени формирования, ще се установи положение обезпечаващо безопасността както на Турция, така и на другите съседни страни вбъдеще</w:t>
      </w:r>
      <w:r>
        <w:rPr>
          <w:rStyle w:val="FootnoteAnchor"/>
          <w:sz w:val="24"/>
          <w:szCs w:val="24"/>
        </w:rPr>
        <w:footnoteReference w:id="3"/>
      </w:r>
      <w:r>
        <w:rPr>
          <w:sz w:val="24"/>
          <w:szCs w:val="24"/>
        </w:rPr>
        <w:t xml:space="preserve">. </w:t>
      </w:r>
    </w:p>
    <w:p>
      <w:pPr>
        <w:pStyle w:val="Normal"/>
        <w:rPr>
          <w:sz w:val="24"/>
          <w:szCs w:val="24"/>
        </w:rPr>
      </w:pPr>
      <w:r>
        <w:rPr>
          <w:sz w:val="24"/>
          <w:szCs w:val="24"/>
        </w:rPr>
        <w:t>Като цяло всички тези фактори и събития предопределят гъвкава политика на двете страни една към друга, с оглед на интересите си основно по линия на Сирия.  Може да се каже, че Русия и Турция са до определена степен взаимозависими в изпълнението на външнополитическите си стратегии в Близкия изток. Турция е заинтересована от намирането на общ език с Москва, особено след политическият разрив, който се оформя между нея и Запада и най-вече Съединените щати, защото я грозни опасността от изпадане в положение на международна изолация. В интерес на Русия от друга страна е поддържането на добри отношения с Турция, както с оглед на политиката си в Сирия, за която тя иначе би представлявала заплаха, най-малкото чрез вмешателство, така и по други въпроси от икономически характер, например изпълнението на енергийните споразумения, като изграждането на енергийната газова мрежа минаваща през Турция.</w:t>
      </w:r>
    </w:p>
    <w:p>
      <w:pPr>
        <w:pStyle w:val="Normal"/>
        <w:rPr>
          <w:sz w:val="24"/>
          <w:szCs w:val="24"/>
        </w:rPr>
      </w:pPr>
      <w:r>
        <w:rPr>
          <w:sz w:val="24"/>
          <w:szCs w:val="24"/>
        </w:rPr>
      </w:r>
    </w:p>
    <w:p>
      <w:pPr>
        <w:pStyle w:val="Normal"/>
        <w:rPr>
          <w:sz w:val="24"/>
          <w:szCs w:val="24"/>
        </w:rPr>
      </w:pPr>
      <w:r>
        <w:rPr>
          <w:sz w:val="24"/>
          <w:szCs w:val="24"/>
        </w:rPr>
      </w:r>
    </w:p>
    <w:p>
      <w:pPr>
        <w:pStyle w:val="Normal"/>
        <w:rPr>
          <w:sz w:val="40"/>
          <w:szCs w:val="40"/>
        </w:rPr>
      </w:pPr>
      <w:r>
        <w:rPr>
          <w:sz w:val="40"/>
          <w:szCs w:val="40"/>
        </w:rPr>
        <w:t>3. Външна политика на Русия в Сирия</w:t>
      </w:r>
    </w:p>
    <w:p>
      <w:pPr>
        <w:pStyle w:val="Normal"/>
        <w:rPr>
          <w:sz w:val="40"/>
          <w:szCs w:val="40"/>
        </w:rPr>
      </w:pPr>
      <w:r>
        <w:rPr>
          <w:sz w:val="40"/>
          <w:szCs w:val="40"/>
        </w:rPr>
      </w:r>
    </w:p>
    <w:p>
      <w:pPr>
        <w:pStyle w:val="Normal"/>
        <w:rPr>
          <w:sz w:val="24"/>
          <w:szCs w:val="24"/>
        </w:rPr>
      </w:pPr>
      <w:r>
        <w:rPr>
          <w:sz w:val="24"/>
          <w:szCs w:val="24"/>
        </w:rPr>
        <w:t xml:space="preserve">Следващият голям въпрос, който е отчасти обвързан с темата за отношенията с Турция, е този за интересите на Руската Федерация във все още намиращата се в кризисно и военно положение Сирия. Още от началото на гражданските вълнения в страната, Русия оказва дипломатическа поддръжка на президента Асад, когото счита за единственият законен лидер, блокирайки резолюцията на съвета за сигурност ООН за икономически санкции срещу Сирия, инициирана от западните и някои от арабските държави, които предлагат дори военна интервенция насочена против правителството. </w:t>
      </w:r>
    </w:p>
    <w:p>
      <w:pPr>
        <w:pStyle w:val="Normal"/>
        <w:rPr>
          <w:sz w:val="24"/>
          <w:szCs w:val="24"/>
        </w:rPr>
      </w:pPr>
      <w:r>
        <w:rPr>
          <w:sz w:val="24"/>
          <w:szCs w:val="24"/>
        </w:rPr>
        <w:t>Ситуацията в страната е доста сложна като по линия на подкрепа, участниците в конфликта се делят на два основни лагера, въпреки че всеки изхожда от различни интереси, освен това обстановката се усложнява в пъти след възхода на крайната терористична ислямистка организация „Ислямска държава в Ирак и Леванта“, уникално терористично формирование, което успява да добие контрол над огромни територии в Ирак и Сирия. Единият лагер, който подкрепя антиправителствените сили в страната и е за свалянето на Башар Асад от власт, е формиран от международна коалиция водена от Съединените щати. Тя включва както страни от Европейският съюз, които обаче не участват с въоражени контингенти, а само с финансова и политическа помощ, така и регионални сили като Турция и Саудитска Арабия, които участват в самия конфликт. ,  Другият включващ Русия, Иран, Китай, а също към него може да бъдат прибавени и кюрдските военизирани структури, действат в подкрепа или в унисон със президента Асад. Русия е дългогодишен партньор на Сирия, в икономически и политически план. Приятелските отношения между двете имат дълга история датираща още от провъзгласяването на Сирийската арабска република през 1946-а година. През периода на студената война те са съюзни държави, които си оказват взаимна икономическа и военна подкрепа. Те успяват да запазят отношенията си както през целият период на съществуване на Съветският съюз, така и след разпадането му. През 1991-ва обаче военно-техническото сътрудничество обаче на практика бива замразено и Сирия натрупва дълг на стойност повече от 14 милиарда долара към Русия</w:t>
      </w:r>
      <w:r>
        <w:rPr>
          <w:rStyle w:val="FootnoteAnchor"/>
          <w:sz w:val="24"/>
          <w:szCs w:val="24"/>
        </w:rPr>
        <w:footnoteReference w:id="4"/>
      </w:r>
      <w:r>
        <w:rPr>
          <w:sz w:val="24"/>
          <w:szCs w:val="24"/>
        </w:rPr>
        <w:t>. Тези отношения обаче биват възобновени през 2005 с подписването на нов договор за търговията с оръжие и тя се възобновява между двете страни, заедно с подобряването на приятелските отношения. Сирия дори оказва поддръжка на действията на руските войски в конфликта в Южна Осетия през 2008, а президента Асад обявява, че Дамаск е готов да си сътрудничи с Русия, по всички въпроси на сигурността. Освен приятелското минало важен мотив за участието на Москва в конфликта е опасността, която представлява Ислямска държава и нейният радикален ислямизъм, за вътрешната сигурност. Русия е голяма федерация, в която живее немалко население изповядващо ученията на исляма . Възможността за разпространението на радикални религиозни идеологии и заплахата от терористични актове на нейната територия са основен двигателен фактор на външната политика.</w:t>
      </w:r>
    </w:p>
    <w:p>
      <w:pPr>
        <w:pStyle w:val="Normal"/>
        <w:rPr>
          <w:sz w:val="24"/>
          <w:szCs w:val="24"/>
        </w:rPr>
      </w:pPr>
      <w:r>
        <w:rPr>
          <w:sz w:val="24"/>
          <w:szCs w:val="24"/>
        </w:rPr>
        <w:t>През 2011-а година протестите и недоволството срещу президента Асад нарастват. Големият проблем и източникът на недоволство е, че страната се управлява под своеобразен елитарен режим. Асад и управляващата прослойка са мюсюлмани шиити в една страна, в която мнозинството както от сирийските араби, така и от други етнически групи като кюрдите, са сунити. Религията има огромно символично значение в Близкия изток, но това не е единственият проблем. На практика Сирийската република се управлява по един доста недемократичен начин, в който цялата власт е съсредоточена в ръцете на управляващите фамилии, подобно на много други страни от района. Последствията от така наречената арабска пролет, вълна на гражданско недоволство из целия арабски свят срещу елитарните управляващи режими, се отразяват особено силно на отдавна тлеещото напрежение в страната. Борещите се за демократични промени не са единствените недоволни от статуквото. По своята същност управлението на Асад е светско, а немалка част от сунитското население вижда ролята на исляма като водеща преди всичко. Именно от тези среди ще възникнат и крайните ислямистки течения които ще формират Ислямска държава.</w:t>
      </w:r>
    </w:p>
    <w:p>
      <w:pPr>
        <w:pStyle w:val="Normal"/>
        <w:rPr>
          <w:sz w:val="24"/>
          <w:szCs w:val="24"/>
        </w:rPr>
      </w:pPr>
      <w:r>
        <w:rPr>
          <w:sz w:val="24"/>
          <w:szCs w:val="24"/>
        </w:rPr>
        <w:t xml:space="preserve">От началото на сблъсъците Русия заема позиция против външна интервенция в Сирия, блокирайки заедно с Китай няколко резолюции на ООН. Руското правителство смята, че въпросът за реформи в Сирия е от вътрешен характер и не представлява угроза за международната сигурност и че външна намеса ще доведе само до повече проблеми, които ще дестабилизират окончателно страна, която е от голямо значение и може да доведе до дестабилизация на целия Близък изток. Все пак са отправени множество апели към президента Асад за реформи в страната, който обаче продължава да допринася с агресивните си действия срещу протестиращите. Към края на годината сблъсъците стават все по-ожесточени и напрежението започва да ескалира, като през следващата 2012-а година прерастват в същинска гражданска война. </w:t>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spacing w:before="0" w:after="160"/>
        <w:rPr>
          <w:sz w:val="24"/>
          <w:szCs w:val="24"/>
        </w:rPr>
      </w:pPr>
      <w:r>
        <w:rPr/>
      </w:r>
    </w:p>
    <w:sectPr>
      <w:footnotePr>
        <w:numFmt w:val="decimal"/>
      </w:footnote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rPr/>
      </w:pPr>
      <w:r>
        <w:rPr>
          <w:rStyle w:val="FootnoteCharacters"/>
        </w:rPr>
        <w:footnoteRef/>
      </w:r>
      <w:r>
        <w:rPr/>
        <w:t xml:space="preserve"> </w:t>
      </w:r>
      <w:r>
        <w:rPr/>
        <w:t>Изявление на прессекретарят на президента, Дмитрий Песков пред руските медии</w:t>
      </w:r>
    </w:p>
  </w:footnote>
  <w:footnote w:id="3">
    <w:p>
      <w:pPr>
        <w:pStyle w:val="Footnote"/>
        <w:rPr/>
      </w:pPr>
      <w:r>
        <w:rPr>
          <w:rStyle w:val="FootnoteCharacters"/>
        </w:rPr>
        <w:footnoteRef/>
      </w:r>
      <w:r>
        <w:rPr/>
        <w:t xml:space="preserve"> </w:t>
      </w:r>
      <w:r>
        <w:rPr/>
        <w:t>Изявление на руския министър на външните работи Сергей Лавров, по време на срещата в Сочи на 22 октомври 2019-а година</w:t>
      </w:r>
    </w:p>
  </w:footnote>
  <w:footnote w:id="4">
    <w:p>
      <w:pPr>
        <w:pStyle w:val="Footnote"/>
        <w:rPr/>
      </w:pPr>
      <w:r>
        <w:rPr>
          <w:rStyle w:val="FootnoteCharacters"/>
        </w:rPr>
        <w:footnoteRef/>
      </w:r>
      <w:r>
        <w:rPr/>
        <w:t xml:space="preserve"> </w:t>
      </w:r>
      <w:r>
        <w:rPr/>
        <w:t>Данните са изведени от статия на редакцията на ТАСС, на база на държавните архиви на Руската федерация.</w:t>
      </w:r>
    </w:p>
  </w:footnote>
</w:footnotes>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FootnoteTextChar" w:customStyle="1">
    <w:name w:val="Footnote Text Char"/>
    <w:basedOn w:val="DefaultParagraphFont"/>
    <w:link w:val="Footnote"/>
    <w:uiPriority w:val="99"/>
    <w:semiHidden/>
    <w:qFormat/>
    <w:rsid w:val="00e02924"/>
    <w:rPr>
      <w:sz w:val="20"/>
      <w:szCs w:val="20"/>
    </w:rPr>
  </w:style>
  <w:style w:type="character" w:styleId="FootnoteCharacters">
    <w:name w:val="Footnote Characters"/>
    <w:basedOn w:val="DefaultParagraphFont"/>
    <w:uiPriority w:val="99"/>
    <w:semiHidden/>
    <w:unhideWhenUsed/>
    <w:qFormat/>
    <w:rsid w:val="00e02924"/>
    <w:rPr>
      <w:vertAlign w:val="superscript"/>
    </w:rPr>
  </w:style>
  <w:style w:type="character" w:styleId="FootnoteAnchor">
    <w:name w:val="Footnote Anchor"/>
    <w:rPr>
      <w:vertAlign w:val="superscript"/>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lang w:val="zxx" w:eastAsia="zxx" w:bidi="zxx"/>
    </w:rPr>
  </w:style>
  <w:style w:type="paragraph" w:styleId="Footnote">
    <w:name w:val="Footnote Text"/>
    <w:basedOn w:val="Normal"/>
    <w:link w:val="FootnoteTextChar"/>
    <w:uiPriority w:val="99"/>
    <w:semiHidden/>
    <w:unhideWhenUsed/>
    <w:rsid w:val="00e02924"/>
    <w:pPr>
      <w:spacing w:lineRule="auto" w:line="240" w:before="0" w:after="0"/>
    </w:pPr>
    <w:rPr>
      <w:sz w:val="20"/>
      <w:szCs w:val="20"/>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41368-DD40-4CB5-9E73-FD0C0507C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Application>LibreOffice/7.3.1.3$Linux_X86_64 LibreOffice_project/30$Build-3</Application>
  <AppVersion>15.0000</AppVersion>
  <Pages>8</Pages>
  <Words>2804</Words>
  <Characters>15910</Characters>
  <CharactersWithSpaces>18711</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2020-01-01T16:50:00Z</dcterms:created>
  <dc:creator>Acer</dc:creator>
  <dc:description/>
  <dc:language>en-US</dc:language>
  <cp:lastModifiedBy>Петра Накова</cp:lastModifiedBy>
  <dcterms:modified xsi:type="dcterms:W3CDTF">2021-10-18T15:41:00Z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